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60" w:rsidRPr="006E3A52" w:rsidRDefault="00265360" w:rsidP="00265360">
      <w:pPr>
        <w:pStyle w:val="Titre5"/>
        <w:spacing w:before="120"/>
        <w:jc w:val="center"/>
        <w:rPr>
          <w:sz w:val="24"/>
          <w:szCs w:val="24"/>
        </w:rPr>
      </w:pPr>
      <w:r w:rsidRPr="006E3A52">
        <w:rPr>
          <w:sz w:val="24"/>
          <w:szCs w:val="24"/>
        </w:rPr>
        <w:t xml:space="preserve">Proposition de </w:t>
      </w:r>
      <w:r w:rsidR="00502644" w:rsidRPr="006E3A52">
        <w:rPr>
          <w:sz w:val="24"/>
          <w:szCs w:val="24"/>
        </w:rPr>
        <w:t>thèse</w:t>
      </w:r>
    </w:p>
    <w:p w:rsidR="00265360" w:rsidRPr="006E3A52" w:rsidRDefault="00265360" w:rsidP="00265360">
      <w:pPr>
        <w:rPr>
          <w:sz w:val="24"/>
          <w:szCs w:val="24"/>
        </w:rPr>
      </w:pPr>
    </w:p>
    <w:p w:rsidR="00265360" w:rsidRDefault="00265360" w:rsidP="00265360">
      <w:pPr>
        <w:rPr>
          <w:rFonts w:eastAsia="Times New Roman"/>
          <w:b/>
          <w:sz w:val="24"/>
          <w:szCs w:val="24"/>
        </w:rPr>
      </w:pPr>
      <w:r w:rsidRPr="006E3A52">
        <w:rPr>
          <w:rFonts w:eastAsia="Times New Roman"/>
          <w:b/>
          <w:sz w:val="24"/>
          <w:szCs w:val="24"/>
        </w:rPr>
        <w:t>Elaboration de matériaux nontissés fonctionnels innovants pour le design de bioréacteurs séquentiels à visées biomédicales</w:t>
      </w:r>
    </w:p>
    <w:p w:rsidR="00265360" w:rsidRPr="001F2A99" w:rsidRDefault="00265360" w:rsidP="00265360">
      <w:pPr>
        <w:pStyle w:val="Titre5"/>
        <w:spacing w:before="120"/>
        <w:jc w:val="both"/>
        <w:rPr>
          <w:b w:val="0"/>
          <w:sz w:val="22"/>
        </w:rPr>
      </w:pPr>
      <w:r w:rsidRPr="001F2A99">
        <w:rPr>
          <w:b w:val="0"/>
          <w:sz w:val="22"/>
        </w:rPr>
        <w:t xml:space="preserve">Les matériaux poreux volumiques sont couramment utilisés pour leurs propriétés structurelles leur permettant d’afficher un rapport surface/volume exceptionnel. Cette propriété autorise une utilisation dans les domaines nécessitant une interaction rapide d’un fluide avec une surface. Les domaines d’utilisations sont divers, ils vont de la filtration des fluides, les échangeurs thermiques, la catalyse chimique ou la caractérisation chimique. On retrouve également ces matériaux poreux en biologie pour la culture cellulaire d’organes artificiels. </w:t>
      </w:r>
    </w:p>
    <w:p w:rsidR="00265360" w:rsidRPr="00265360" w:rsidRDefault="00265360" w:rsidP="00265360">
      <w:pPr>
        <w:pStyle w:val="Titre5"/>
        <w:spacing w:before="120"/>
        <w:jc w:val="both"/>
        <w:rPr>
          <w:b w:val="0"/>
          <w:sz w:val="22"/>
          <w:szCs w:val="24"/>
        </w:rPr>
      </w:pPr>
      <w:r w:rsidRPr="00265360">
        <w:rPr>
          <w:b w:val="0"/>
          <w:sz w:val="22"/>
          <w:szCs w:val="24"/>
        </w:rPr>
        <w:t>La fluidique est souvent associé à ces matériaux poreux 3D pour assurer les échanges rapides entre le fluide à traiter et la surface du poreux. En général, le fluide traverse le poreux afin d’optimiser le temps de contact entre les particules du fluide et la surface du poreux. Pour cela le poreux est disposé dans une veine fluidique, ce système autoporté transversal est piloté par un générateur (pompe, compresseur etc…) générant un flux de liquide contrôlé dans le poreux.</w:t>
      </w:r>
    </w:p>
    <w:p w:rsidR="00265360" w:rsidRPr="00265360" w:rsidRDefault="00265360" w:rsidP="00265360">
      <w:pPr>
        <w:pStyle w:val="Titre5"/>
        <w:spacing w:before="120"/>
        <w:jc w:val="both"/>
        <w:rPr>
          <w:b w:val="0"/>
          <w:sz w:val="22"/>
          <w:szCs w:val="24"/>
        </w:rPr>
      </w:pPr>
      <w:r w:rsidRPr="00265360">
        <w:rPr>
          <w:b w:val="0"/>
          <w:sz w:val="22"/>
          <w:szCs w:val="24"/>
        </w:rPr>
        <w:t>L’utilisation de poreux tridimensionnel à modification de structure (poreux comprimable, étirable…) permet une auto génération du flux de liquide au cœur même du poreux. En effet la modification de la structure du poreux par réduction ou augmentation du volume, génère un flux continu ou séquentiel du fluide qui le traverse. Cette propriété des poreux à structure déformable permet de s’affranchir du système fluidique extérieur associé pour générer un flux de fluide dans le poreux. Les poreux en polymère tels que les mousses polyuréthane ou certains tissus permettent de générer des déplacements de liquide par compression étirement du matériau. Des travaux de thèse au laboratoire ont montrés l’intérêt des mousses polyuréthane à cellules ouvertes pour générer des déplacements de liquide ou de gaz.</w:t>
      </w:r>
    </w:p>
    <w:p w:rsidR="00265360" w:rsidRPr="00265360" w:rsidRDefault="00265360" w:rsidP="00265360">
      <w:pPr>
        <w:pStyle w:val="Titre5"/>
        <w:spacing w:before="120"/>
        <w:jc w:val="both"/>
        <w:rPr>
          <w:sz w:val="22"/>
          <w:szCs w:val="24"/>
        </w:rPr>
      </w:pPr>
      <w:r w:rsidRPr="00265360">
        <w:rPr>
          <w:b w:val="0"/>
          <w:sz w:val="22"/>
          <w:szCs w:val="24"/>
        </w:rPr>
        <w:t xml:space="preserve">Les structures poreuses déformables représentent une nouvelle classe de matériau extrêmement intéressante pour la réalisation de bioréacteurs électrochimiques. En effet, la porosité interne apporte un confinement permettant son utilisation en tant que réceptacle pour le piégeage d’entités biologiques vivantes telles que des cellules ou en tant que réseau de cellules catalytiques pour la réalisation de bioréacteurs cellulaires ou enzymatiques. De plus, l’architecture mécanique du matériau poreux si elle est rendue conductrice peut être utilisée comme électrode volumique. </w:t>
      </w:r>
      <w:r w:rsidRPr="00265360">
        <w:rPr>
          <w:sz w:val="22"/>
          <w:szCs w:val="24"/>
        </w:rPr>
        <w:t>Cette thèse s’attache donc à développer des matériaux poreux conducteurs biocompatibles et déformables en vue de l’élaboration de bioréacteurs enzymatiques ou cellulaires à plus long terme. La conductivité permettra alors de créer in situ une interface électrochimique destinée à la connexion électrique d’enzymes pour la réalisation de biocapteurs hautement sensibles dont la réponse peut être amplifiée par le confinement. On peut aussi envisager leur utilisation pour le suivi de la culture cellulaire dans son volume.</w:t>
      </w:r>
    </w:p>
    <w:p w:rsidR="00265360" w:rsidRPr="00265360" w:rsidRDefault="00265360" w:rsidP="00265360">
      <w:pPr>
        <w:pStyle w:val="Titre5"/>
        <w:spacing w:before="120"/>
        <w:jc w:val="both"/>
        <w:rPr>
          <w:b w:val="0"/>
          <w:sz w:val="22"/>
          <w:szCs w:val="24"/>
        </w:rPr>
      </w:pPr>
      <w:r w:rsidRPr="00265360">
        <w:rPr>
          <w:b w:val="0"/>
          <w:sz w:val="22"/>
          <w:szCs w:val="24"/>
        </w:rPr>
        <w:t xml:space="preserve">De nouveaux matériaux textiles 3D innovants  associant propriétés mécaniques, électriques, et fluidiques. Associés à une chimie de surface destinée soit à rendre biocompatible le matériau et à greffer des entités biologiques telles que des enzymes seront à développer. </w:t>
      </w:r>
      <w:r w:rsidRPr="00265360">
        <w:rPr>
          <w:sz w:val="22"/>
          <w:szCs w:val="24"/>
        </w:rPr>
        <w:t>L’élaboration de ces matériaux innovants bénéficiera de la synergie des compétences de l’ENSAIT (matériaux textiles, procédés d’élaboration, caractérisation, mise en œuvre..) et de CEA Tec (Electrochimie, µfluidique, biologie/biomédical, fonctionnalisation de surface…).</w:t>
      </w:r>
    </w:p>
    <w:p w:rsidR="00265360" w:rsidRPr="00265360" w:rsidRDefault="00265360" w:rsidP="00265360">
      <w:pPr>
        <w:rPr>
          <w:sz w:val="22"/>
          <w:szCs w:val="24"/>
        </w:rPr>
      </w:pPr>
      <w:r w:rsidRPr="00265360">
        <w:rPr>
          <w:sz w:val="22"/>
          <w:szCs w:val="24"/>
        </w:rPr>
        <w:t>Ce travail de thèse s’attache donc à lever les verrous précédemment cités afin d’élaborer des bioréacteurs à base de matériaux 3D macroporeux, déformables et conducteurs électriques.</w:t>
      </w:r>
    </w:p>
    <w:p w:rsidR="00265360" w:rsidRDefault="00265360"/>
    <w:p w:rsidR="00265360" w:rsidRPr="00D3374B" w:rsidRDefault="00265360" w:rsidP="00265360">
      <w:pPr>
        <w:widowControl/>
        <w:numPr>
          <w:ilvl w:val="0"/>
          <w:numId w:val="1"/>
        </w:numPr>
        <w:spacing w:after="160" w:line="259" w:lineRule="auto"/>
        <w:ind w:left="313" w:firstLine="283"/>
        <w:contextualSpacing/>
        <w:rPr>
          <w:rFonts w:eastAsia="Times New Roman"/>
          <w:color w:val="000000" w:themeColor="text1"/>
          <w:sz w:val="22"/>
          <w:szCs w:val="24"/>
        </w:rPr>
      </w:pPr>
      <w:r w:rsidRPr="00D3374B">
        <w:rPr>
          <w:rFonts w:eastAsia="Times New Roman"/>
          <w:color w:val="000000" w:themeColor="text1"/>
          <w:sz w:val="22"/>
          <w:szCs w:val="24"/>
        </w:rPr>
        <w:lastRenderedPageBreak/>
        <w:t>La première phase de la thèse consistera dans la conception et l’élaboration du matériau (</w:t>
      </w:r>
      <w:r w:rsidR="001F2A99">
        <w:rPr>
          <w:rFonts w:eastAsia="Times New Roman"/>
          <w:color w:val="000000" w:themeColor="text1"/>
          <w:sz w:val="22"/>
          <w:szCs w:val="24"/>
        </w:rPr>
        <w:t xml:space="preserve">fibreux, </w:t>
      </w:r>
      <w:r w:rsidRPr="00D3374B">
        <w:rPr>
          <w:rFonts w:eastAsia="Times New Roman"/>
          <w:color w:val="000000" w:themeColor="text1"/>
          <w:sz w:val="22"/>
          <w:szCs w:val="24"/>
        </w:rPr>
        <w:t xml:space="preserve">nontissé…) sur la base de critères classiques de porosité et de comportement mécanique auxquelles sont adjointes des propriétés conductrices et µfluidiques originales. </w:t>
      </w:r>
    </w:p>
    <w:p w:rsidR="00265360" w:rsidRPr="00D3374B" w:rsidRDefault="00265360" w:rsidP="00265360">
      <w:pPr>
        <w:widowControl/>
        <w:numPr>
          <w:ilvl w:val="0"/>
          <w:numId w:val="1"/>
        </w:numPr>
        <w:spacing w:after="160" w:line="259" w:lineRule="auto"/>
        <w:ind w:left="313" w:firstLine="283"/>
        <w:contextualSpacing/>
        <w:rPr>
          <w:rFonts w:eastAsia="Times New Roman"/>
          <w:color w:val="000000" w:themeColor="text1"/>
          <w:sz w:val="22"/>
          <w:szCs w:val="24"/>
        </w:rPr>
      </w:pPr>
      <w:r w:rsidRPr="00D3374B">
        <w:rPr>
          <w:rFonts w:eastAsia="Times New Roman"/>
          <w:color w:val="000000" w:themeColor="text1"/>
          <w:sz w:val="22"/>
          <w:szCs w:val="24"/>
        </w:rPr>
        <w:t>La deuxième étape s’attaquera au verrou de la fonctionnalisation des matériaux élaborés. Celle-ci sera réfléchie de manière générique afin d’introduire des fonctions primaires qui permettront a posteriori de greffer des enzymes et/ou d’introduire des fonctions renforçant la biocompatibilité de la structure.</w:t>
      </w:r>
    </w:p>
    <w:p w:rsidR="00265360" w:rsidRPr="00D3374B" w:rsidRDefault="00265360" w:rsidP="00265360">
      <w:pPr>
        <w:widowControl/>
        <w:numPr>
          <w:ilvl w:val="0"/>
          <w:numId w:val="1"/>
        </w:numPr>
        <w:spacing w:after="160" w:line="259" w:lineRule="auto"/>
        <w:ind w:left="313" w:firstLine="283"/>
        <w:contextualSpacing/>
        <w:rPr>
          <w:rFonts w:eastAsia="Times New Roman"/>
          <w:color w:val="000000" w:themeColor="text1"/>
          <w:sz w:val="22"/>
          <w:szCs w:val="24"/>
        </w:rPr>
      </w:pPr>
      <w:r w:rsidRPr="00D3374B">
        <w:rPr>
          <w:rFonts w:eastAsia="Times New Roman"/>
          <w:color w:val="000000" w:themeColor="text1"/>
          <w:sz w:val="22"/>
          <w:szCs w:val="24"/>
        </w:rPr>
        <w:t xml:space="preserve">La dernière phase de ce travail consistera à la réalisation de bioréacteurs enzymatiques et cellulaires. </w:t>
      </w:r>
    </w:p>
    <w:p w:rsidR="00265360" w:rsidRDefault="00265360" w:rsidP="00265360"/>
    <w:p w:rsidR="00265360" w:rsidRPr="00D3374B" w:rsidRDefault="00265360" w:rsidP="00265360">
      <w:pPr>
        <w:rPr>
          <w:b/>
          <w:sz w:val="22"/>
        </w:rPr>
      </w:pPr>
      <w:r w:rsidRPr="00D3374B">
        <w:rPr>
          <w:b/>
          <w:sz w:val="22"/>
        </w:rPr>
        <w:t xml:space="preserve">Profil candidat recherché : </w:t>
      </w:r>
    </w:p>
    <w:p w:rsidR="00265360" w:rsidRPr="00D3374B" w:rsidRDefault="00265360" w:rsidP="00265360">
      <w:pPr>
        <w:numPr>
          <w:ilvl w:val="1"/>
          <w:numId w:val="2"/>
        </w:numPr>
        <w:rPr>
          <w:sz w:val="22"/>
        </w:rPr>
      </w:pPr>
      <w:r w:rsidRPr="00D3374B">
        <w:rPr>
          <w:sz w:val="22"/>
        </w:rPr>
        <w:t>Matériaux, (Electro</w:t>
      </w:r>
      <w:proofErr w:type="gramStart"/>
      <w:r w:rsidRPr="00D3374B">
        <w:rPr>
          <w:sz w:val="22"/>
        </w:rPr>
        <w:t>)Chimie</w:t>
      </w:r>
      <w:proofErr w:type="gramEnd"/>
      <w:r w:rsidRPr="00D3374B">
        <w:rPr>
          <w:sz w:val="22"/>
        </w:rPr>
        <w:t>, Biologie, µfluidique</w:t>
      </w:r>
    </w:p>
    <w:p w:rsidR="00265360" w:rsidRPr="00D3374B" w:rsidRDefault="00265360" w:rsidP="00265360">
      <w:pPr>
        <w:rPr>
          <w:b/>
          <w:sz w:val="22"/>
        </w:rPr>
      </w:pPr>
      <w:r w:rsidRPr="00D3374B">
        <w:rPr>
          <w:b/>
          <w:sz w:val="22"/>
        </w:rPr>
        <w:t xml:space="preserve">Localisation de la thèse : </w:t>
      </w:r>
    </w:p>
    <w:p w:rsidR="00265360" w:rsidRPr="00D3374B" w:rsidRDefault="00265360" w:rsidP="00265360">
      <w:pPr>
        <w:pStyle w:val="Paragraphedeliste"/>
        <w:numPr>
          <w:ilvl w:val="0"/>
          <w:numId w:val="3"/>
        </w:numPr>
        <w:rPr>
          <w:b/>
        </w:rPr>
      </w:pPr>
      <w:r w:rsidRPr="00D3374B">
        <w:rPr>
          <w:b/>
        </w:rPr>
        <w:t>Le travail de thèse sera réparti entre l’ENSAIT (Roubaix) et le CEA-</w:t>
      </w:r>
    </w:p>
    <w:p w:rsidR="00265360" w:rsidRPr="00D3374B" w:rsidRDefault="00265360" w:rsidP="00265360">
      <w:pPr>
        <w:pStyle w:val="Paragraphedeliste"/>
        <w:ind w:left="1423"/>
        <w:rPr>
          <w:b/>
        </w:rPr>
      </w:pPr>
      <w:proofErr w:type="spellStart"/>
      <w:r w:rsidRPr="00D3374B">
        <w:rPr>
          <w:b/>
        </w:rPr>
        <w:t>Leti</w:t>
      </w:r>
      <w:proofErr w:type="spellEnd"/>
      <w:r w:rsidRPr="00D3374B">
        <w:rPr>
          <w:b/>
        </w:rPr>
        <w:t xml:space="preserve"> (Grenoble).</w:t>
      </w:r>
    </w:p>
    <w:p w:rsidR="00265360" w:rsidRPr="00D3374B" w:rsidRDefault="00265360" w:rsidP="00265360">
      <w:pPr>
        <w:pStyle w:val="Paragraphedeliste"/>
        <w:ind w:left="1423"/>
        <w:rPr>
          <w:b/>
        </w:rPr>
      </w:pPr>
    </w:p>
    <w:p w:rsidR="00265360" w:rsidRPr="00D3374B" w:rsidRDefault="00265360" w:rsidP="00265360">
      <w:pPr>
        <w:rPr>
          <w:b/>
          <w:sz w:val="22"/>
        </w:rPr>
      </w:pPr>
      <w:r w:rsidRPr="00D3374B">
        <w:rPr>
          <w:b/>
          <w:sz w:val="22"/>
        </w:rPr>
        <w:t>Contact : CEA- GRENOBLE</w:t>
      </w:r>
    </w:p>
    <w:tbl>
      <w:tblPr>
        <w:tblW w:w="0" w:type="auto"/>
        <w:tblCellMar>
          <w:left w:w="0" w:type="dxa"/>
          <w:right w:w="0" w:type="dxa"/>
        </w:tblCellMar>
        <w:tblLook w:val="04A0" w:firstRow="1" w:lastRow="0" w:firstColumn="1" w:lastColumn="0" w:noHBand="0" w:noVBand="1"/>
      </w:tblPr>
      <w:tblGrid>
        <w:gridCol w:w="1242"/>
        <w:gridCol w:w="7758"/>
      </w:tblGrid>
      <w:tr w:rsidR="00265360" w:rsidTr="005A1A89">
        <w:tc>
          <w:tcPr>
            <w:tcW w:w="1242" w:type="dxa"/>
            <w:tcMar>
              <w:top w:w="0" w:type="dxa"/>
              <w:left w:w="108" w:type="dxa"/>
              <w:bottom w:w="0" w:type="dxa"/>
              <w:right w:w="108" w:type="dxa"/>
            </w:tcMar>
            <w:hideMark/>
          </w:tcPr>
          <w:p w:rsidR="00265360" w:rsidRPr="00D3374B" w:rsidRDefault="00265360" w:rsidP="00DB0F18">
            <w:pPr>
              <w:autoSpaceDE w:val="0"/>
              <w:autoSpaceDN w:val="0"/>
              <w:spacing w:line="288" w:lineRule="auto"/>
              <w:ind w:right="-108"/>
              <w:rPr>
                <w:rFonts w:ascii="Arial" w:eastAsia="Calibri" w:hAnsi="Arial" w:cs="Arial"/>
                <w:noProof/>
                <w:color w:val="E60019"/>
                <w:sz w:val="16"/>
                <w:szCs w:val="20"/>
              </w:rPr>
            </w:pPr>
            <w:r w:rsidRPr="00D3374B">
              <w:rPr>
                <w:rFonts w:ascii="Arial" w:eastAsia="Calibri" w:hAnsi="Arial" w:cs="Arial"/>
                <w:noProof/>
                <w:color w:val="E60019"/>
                <w:sz w:val="16"/>
                <w:szCs w:val="20"/>
                <w:lang w:val="en-GB" w:eastAsia="en-GB"/>
              </w:rPr>
              <w:drawing>
                <wp:inline distT="0" distB="0" distL="0" distR="0" wp14:anchorId="4D857427" wp14:editId="13C5D9FB">
                  <wp:extent cx="546090" cy="729842"/>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664" cy="753330"/>
                          </a:xfrm>
                          <a:prstGeom prst="rect">
                            <a:avLst/>
                          </a:prstGeom>
                          <a:noFill/>
                          <a:ln>
                            <a:noFill/>
                          </a:ln>
                        </pic:spPr>
                      </pic:pic>
                    </a:graphicData>
                  </a:graphic>
                </wp:inline>
              </w:drawing>
            </w:r>
          </w:p>
        </w:tc>
        <w:tc>
          <w:tcPr>
            <w:tcW w:w="7758" w:type="dxa"/>
            <w:tcMar>
              <w:top w:w="0" w:type="dxa"/>
              <w:left w:w="108" w:type="dxa"/>
              <w:bottom w:w="0" w:type="dxa"/>
              <w:right w:w="108" w:type="dxa"/>
            </w:tcMar>
            <w:hideMark/>
          </w:tcPr>
          <w:p w:rsidR="00265360" w:rsidRPr="005A1A89" w:rsidRDefault="00265360" w:rsidP="005A1A89">
            <w:pPr>
              <w:autoSpaceDE w:val="0"/>
              <w:autoSpaceDN w:val="0"/>
              <w:spacing w:after="0" w:line="288" w:lineRule="auto"/>
              <w:rPr>
                <w:rFonts w:ascii="Arial" w:eastAsia="Calibri" w:hAnsi="Arial" w:cs="Arial"/>
                <w:b/>
                <w:bCs/>
                <w:noProof/>
                <w:color w:val="888888"/>
                <w:sz w:val="18"/>
                <w:szCs w:val="20"/>
              </w:rPr>
            </w:pPr>
            <w:r w:rsidRPr="005A1A89">
              <w:rPr>
                <w:rFonts w:ascii="Arial" w:eastAsia="Calibri" w:hAnsi="Arial" w:cs="Arial"/>
                <w:b/>
                <w:bCs/>
                <w:noProof/>
                <w:color w:val="888888"/>
                <w:sz w:val="18"/>
                <w:szCs w:val="20"/>
              </w:rPr>
              <w:t>Frederic REVOL-CAVALIER</w:t>
            </w:r>
          </w:p>
          <w:p w:rsidR="00265360" w:rsidRPr="005A1A89" w:rsidRDefault="00265360" w:rsidP="005A1A89">
            <w:pPr>
              <w:autoSpaceDE w:val="0"/>
              <w:autoSpaceDN w:val="0"/>
              <w:spacing w:after="0" w:line="288" w:lineRule="auto"/>
              <w:rPr>
                <w:rFonts w:ascii="Arial" w:eastAsia="Calibri" w:hAnsi="Arial" w:cs="Arial"/>
                <w:noProof/>
                <w:color w:val="888888"/>
                <w:sz w:val="18"/>
                <w:szCs w:val="20"/>
              </w:rPr>
            </w:pPr>
            <w:r w:rsidRPr="005A1A89">
              <w:rPr>
                <w:rFonts w:ascii="Arial" w:eastAsia="Calibri" w:hAnsi="Arial" w:cs="Arial"/>
                <w:noProof/>
                <w:color w:val="888888"/>
                <w:sz w:val="18"/>
                <w:szCs w:val="20"/>
              </w:rPr>
              <w:t>Ingenieur chercheur</w:t>
            </w:r>
          </w:p>
          <w:p w:rsidR="00265360" w:rsidRPr="005A1A89" w:rsidRDefault="00265360" w:rsidP="005A1A89">
            <w:pPr>
              <w:autoSpaceDE w:val="0"/>
              <w:autoSpaceDN w:val="0"/>
              <w:spacing w:after="0" w:line="288" w:lineRule="auto"/>
              <w:rPr>
                <w:rFonts w:ascii="Arial" w:eastAsia="Calibri" w:hAnsi="Arial" w:cs="Arial"/>
                <w:noProof/>
                <w:color w:val="888888"/>
                <w:sz w:val="18"/>
                <w:szCs w:val="16"/>
              </w:rPr>
            </w:pPr>
            <w:r w:rsidRPr="005A1A89">
              <w:rPr>
                <w:rFonts w:ascii="Arial" w:eastAsia="Calibri" w:hAnsi="Arial" w:cs="Arial"/>
                <w:noProof/>
                <w:color w:val="888888"/>
                <w:sz w:val="18"/>
                <w:szCs w:val="16"/>
              </w:rPr>
              <w:t>LETI-DTBS (SBSC/LBAM)</w:t>
            </w:r>
          </w:p>
          <w:p w:rsidR="00265360" w:rsidRPr="005A1A89" w:rsidRDefault="00265360" w:rsidP="005A1A89">
            <w:pPr>
              <w:autoSpaceDE w:val="0"/>
              <w:autoSpaceDN w:val="0"/>
              <w:spacing w:after="0" w:line="288" w:lineRule="auto"/>
              <w:rPr>
                <w:rFonts w:ascii="Arial" w:eastAsia="Calibri" w:hAnsi="Arial" w:cs="Arial"/>
                <w:noProof/>
                <w:color w:val="888888"/>
                <w:sz w:val="18"/>
                <w:szCs w:val="16"/>
                <w:lang w:val="en-US"/>
              </w:rPr>
            </w:pPr>
            <w:r w:rsidRPr="005A1A89">
              <w:rPr>
                <w:rFonts w:ascii="Arial" w:eastAsia="Calibri" w:hAnsi="Arial" w:cs="Arial"/>
                <w:noProof/>
                <w:color w:val="888888"/>
                <w:sz w:val="18"/>
                <w:szCs w:val="16"/>
                <w:lang w:val="en-US"/>
              </w:rPr>
              <w:t xml:space="preserve">T. +33 (0)4 38 78 99 76 </w:t>
            </w:r>
          </w:p>
          <w:p w:rsidR="00265360" w:rsidRPr="00D3374B" w:rsidRDefault="005A1A89" w:rsidP="005A1A89">
            <w:pPr>
              <w:autoSpaceDE w:val="0"/>
              <w:autoSpaceDN w:val="0"/>
              <w:spacing w:after="0" w:line="288" w:lineRule="auto"/>
              <w:rPr>
                <w:rFonts w:ascii="Arial" w:eastAsia="Calibri" w:hAnsi="Arial" w:cs="Arial"/>
                <w:noProof/>
                <w:color w:val="E60019"/>
                <w:sz w:val="16"/>
                <w:szCs w:val="20"/>
                <w:lang w:val="en-US"/>
              </w:rPr>
            </w:pPr>
            <w:hyperlink r:id="rId6" w:history="1">
              <w:r w:rsidR="00265360" w:rsidRPr="005A1A89">
                <w:rPr>
                  <w:rStyle w:val="Lienhypertexte"/>
                  <w:rFonts w:ascii="Arial" w:eastAsia="Calibri" w:hAnsi="Arial" w:cs="Arial"/>
                  <w:noProof/>
                  <w:color w:val="95A2AD"/>
                  <w:sz w:val="18"/>
                  <w:lang w:val="en-US"/>
                </w:rPr>
                <w:t>frevolcavalier@cea.fr</w:t>
              </w:r>
            </w:hyperlink>
          </w:p>
        </w:tc>
      </w:tr>
    </w:tbl>
    <w:p w:rsidR="00265360" w:rsidRDefault="00265360"/>
    <w:tbl>
      <w:tblPr>
        <w:tblW w:w="0" w:type="auto"/>
        <w:tblCellMar>
          <w:left w:w="0" w:type="dxa"/>
          <w:right w:w="0" w:type="dxa"/>
        </w:tblCellMar>
        <w:tblLook w:val="04A0" w:firstRow="1" w:lastRow="0" w:firstColumn="1" w:lastColumn="0" w:noHBand="0" w:noVBand="1"/>
      </w:tblPr>
      <w:tblGrid>
        <w:gridCol w:w="1242"/>
        <w:gridCol w:w="6966"/>
      </w:tblGrid>
      <w:tr w:rsidR="00D3374B" w:rsidTr="005A1A89">
        <w:tc>
          <w:tcPr>
            <w:tcW w:w="1242" w:type="dxa"/>
            <w:tcMar>
              <w:top w:w="0" w:type="dxa"/>
              <w:left w:w="108" w:type="dxa"/>
              <w:bottom w:w="0" w:type="dxa"/>
              <w:right w:w="108" w:type="dxa"/>
            </w:tcMar>
            <w:hideMark/>
          </w:tcPr>
          <w:p w:rsidR="00D3374B" w:rsidRDefault="005A1A89">
            <w:pPr>
              <w:autoSpaceDE w:val="0"/>
              <w:autoSpaceDN w:val="0"/>
              <w:spacing w:line="288" w:lineRule="auto"/>
              <w:ind w:right="-108"/>
              <w:rPr>
                <w:rFonts w:ascii="Arial" w:hAnsi="Arial" w:cs="Arial"/>
                <w:color w:val="E60019"/>
                <w:szCs w:val="20"/>
                <w:lang w:eastAsia="en-GB"/>
              </w:rPr>
            </w:pPr>
            <w:r w:rsidRPr="00D3374B">
              <w:rPr>
                <w:rFonts w:ascii="Arial" w:eastAsia="Calibri" w:hAnsi="Arial" w:cs="Arial"/>
                <w:noProof/>
                <w:color w:val="E60019"/>
                <w:sz w:val="16"/>
                <w:szCs w:val="20"/>
                <w:lang w:val="en-GB" w:eastAsia="en-GB"/>
              </w:rPr>
              <w:drawing>
                <wp:inline distT="0" distB="0" distL="0" distR="0" wp14:anchorId="38043493" wp14:editId="1461C060">
                  <wp:extent cx="577474" cy="771787"/>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191" cy="783437"/>
                          </a:xfrm>
                          <a:prstGeom prst="rect">
                            <a:avLst/>
                          </a:prstGeom>
                          <a:noFill/>
                          <a:ln>
                            <a:noFill/>
                          </a:ln>
                        </pic:spPr>
                      </pic:pic>
                    </a:graphicData>
                  </a:graphic>
                </wp:inline>
              </w:drawing>
            </w:r>
          </w:p>
        </w:tc>
        <w:tc>
          <w:tcPr>
            <w:tcW w:w="6966" w:type="dxa"/>
            <w:tcMar>
              <w:top w:w="0" w:type="dxa"/>
              <w:left w:w="108" w:type="dxa"/>
              <w:bottom w:w="0" w:type="dxa"/>
              <w:right w:w="108" w:type="dxa"/>
            </w:tcMar>
            <w:hideMark/>
          </w:tcPr>
          <w:p w:rsidR="00D3374B" w:rsidRPr="005A1A89" w:rsidRDefault="00D3374B" w:rsidP="005A1A89">
            <w:pPr>
              <w:autoSpaceDE w:val="0"/>
              <w:autoSpaceDN w:val="0"/>
              <w:spacing w:after="0" w:line="276" w:lineRule="auto"/>
              <w:rPr>
                <w:rFonts w:ascii="Arial" w:hAnsi="Arial" w:cs="Arial"/>
                <w:b/>
                <w:bCs/>
                <w:color w:val="888888"/>
                <w:sz w:val="18"/>
                <w:szCs w:val="20"/>
                <w:lang w:eastAsia="en-GB"/>
              </w:rPr>
            </w:pPr>
            <w:r w:rsidRPr="005A1A89">
              <w:rPr>
                <w:rFonts w:ascii="Arial" w:hAnsi="Arial" w:cs="Arial"/>
                <w:b/>
                <w:bCs/>
                <w:color w:val="888888"/>
                <w:sz w:val="18"/>
                <w:szCs w:val="20"/>
                <w:lang w:eastAsia="en-GB"/>
              </w:rPr>
              <w:t>Dr Pascal MAILLEY</w:t>
            </w:r>
          </w:p>
          <w:p w:rsidR="00D3374B" w:rsidRPr="005A1A89" w:rsidRDefault="00D3374B" w:rsidP="005A1A89">
            <w:pPr>
              <w:autoSpaceDE w:val="0"/>
              <w:autoSpaceDN w:val="0"/>
              <w:spacing w:after="0" w:line="276" w:lineRule="auto"/>
              <w:rPr>
                <w:rFonts w:ascii="Arial" w:hAnsi="Arial" w:cs="Arial"/>
                <w:b/>
                <w:bCs/>
                <w:color w:val="888888"/>
                <w:sz w:val="18"/>
                <w:szCs w:val="20"/>
                <w:lang w:eastAsia="en-GB"/>
              </w:rPr>
            </w:pPr>
            <w:r w:rsidRPr="005A1A89">
              <w:rPr>
                <w:rFonts w:ascii="Arial" w:hAnsi="Arial" w:cs="Arial"/>
                <w:b/>
                <w:bCs/>
                <w:color w:val="888888"/>
                <w:sz w:val="18"/>
                <w:szCs w:val="20"/>
                <w:lang w:eastAsia="en-GB"/>
              </w:rPr>
              <w:t>Directeur de Recherche</w:t>
            </w:r>
          </w:p>
          <w:p w:rsidR="00D3374B" w:rsidRPr="005A1A89" w:rsidRDefault="00D3374B" w:rsidP="005A1A89">
            <w:pPr>
              <w:autoSpaceDE w:val="0"/>
              <w:autoSpaceDN w:val="0"/>
              <w:spacing w:after="0" w:line="276" w:lineRule="auto"/>
              <w:rPr>
                <w:rFonts w:ascii="Arial" w:hAnsi="Arial" w:cs="Arial"/>
                <w:color w:val="888888"/>
                <w:sz w:val="18"/>
                <w:szCs w:val="20"/>
                <w:lang w:val="en-US" w:eastAsia="en-GB"/>
              </w:rPr>
            </w:pPr>
            <w:r w:rsidRPr="005A1A89">
              <w:rPr>
                <w:rFonts w:ascii="Arial" w:hAnsi="Arial" w:cs="Arial"/>
                <w:b/>
                <w:bCs/>
                <w:color w:val="888888"/>
                <w:sz w:val="18"/>
                <w:szCs w:val="20"/>
                <w:lang w:val="en-US" w:eastAsia="en-GB"/>
              </w:rPr>
              <w:t>Research Manager of LETI Health Division</w:t>
            </w:r>
          </w:p>
          <w:p w:rsidR="00D3374B" w:rsidRPr="005A1A89" w:rsidRDefault="00D3374B" w:rsidP="005A1A89">
            <w:pPr>
              <w:autoSpaceDE w:val="0"/>
              <w:autoSpaceDN w:val="0"/>
              <w:spacing w:after="0" w:line="276" w:lineRule="auto"/>
              <w:rPr>
                <w:rFonts w:ascii="Arial" w:hAnsi="Arial" w:cs="Arial"/>
                <w:color w:val="888888"/>
                <w:sz w:val="18"/>
                <w:szCs w:val="16"/>
                <w:lang w:eastAsia="en-GB"/>
              </w:rPr>
            </w:pPr>
            <w:r w:rsidRPr="005A1A89">
              <w:rPr>
                <w:rFonts w:ascii="Arial" w:hAnsi="Arial" w:cs="Arial"/>
                <w:color w:val="888888"/>
                <w:sz w:val="18"/>
                <w:szCs w:val="16"/>
                <w:lang w:eastAsia="en-GB"/>
              </w:rPr>
              <w:t>Département des Technologies pour la Biologie et la Santé (DTBS)</w:t>
            </w:r>
          </w:p>
          <w:p w:rsidR="00D3374B" w:rsidRPr="005A1A89" w:rsidRDefault="00D3374B" w:rsidP="005A1A89">
            <w:pPr>
              <w:autoSpaceDE w:val="0"/>
              <w:autoSpaceDN w:val="0"/>
              <w:spacing w:after="0" w:line="276" w:lineRule="auto"/>
              <w:rPr>
                <w:rFonts w:ascii="Arial" w:hAnsi="Arial" w:cs="Arial"/>
                <w:color w:val="888888"/>
                <w:sz w:val="18"/>
                <w:szCs w:val="16"/>
                <w:lang w:eastAsia="en-GB"/>
              </w:rPr>
            </w:pPr>
            <w:r w:rsidRPr="005A1A89">
              <w:rPr>
                <w:rFonts w:ascii="Arial" w:hAnsi="Arial" w:cs="Arial"/>
                <w:color w:val="888888"/>
                <w:sz w:val="18"/>
                <w:szCs w:val="16"/>
                <w:lang w:eastAsia="en-GB"/>
              </w:rPr>
              <w:t xml:space="preserve">T. +33 (0)4 38 78 15 12 </w:t>
            </w:r>
            <w:r w:rsidRPr="005A1A89">
              <w:rPr>
                <w:rFonts w:ascii="Arial" w:hAnsi="Arial" w:cs="Arial"/>
                <w:b/>
                <w:bCs/>
                <w:color w:val="91C30A"/>
                <w:sz w:val="18"/>
                <w:szCs w:val="16"/>
                <w:lang w:eastAsia="en-GB"/>
              </w:rPr>
              <w:t>|</w:t>
            </w:r>
            <w:r w:rsidRPr="005A1A89">
              <w:rPr>
                <w:rFonts w:ascii="Arial" w:hAnsi="Arial" w:cs="Arial"/>
                <w:color w:val="888888"/>
                <w:sz w:val="18"/>
                <w:szCs w:val="16"/>
                <w:lang w:eastAsia="en-GB"/>
              </w:rPr>
              <w:t xml:space="preserve"> F. +33 (0)7 86 00 60 81 </w:t>
            </w:r>
            <w:r w:rsidRPr="005A1A89">
              <w:rPr>
                <w:rFonts w:ascii="Arial" w:hAnsi="Arial" w:cs="Arial"/>
                <w:b/>
                <w:bCs/>
                <w:color w:val="91C30A"/>
                <w:sz w:val="18"/>
                <w:szCs w:val="16"/>
                <w:lang w:eastAsia="en-GB"/>
              </w:rPr>
              <w:t>|</w:t>
            </w:r>
            <w:r w:rsidRPr="005A1A89">
              <w:rPr>
                <w:rFonts w:ascii="Arial" w:hAnsi="Arial" w:cs="Arial"/>
                <w:color w:val="888888"/>
                <w:sz w:val="18"/>
                <w:szCs w:val="16"/>
                <w:lang w:eastAsia="en-GB"/>
              </w:rPr>
              <w:t xml:space="preserve"> F. +33 (0)6 82 96 93 60</w:t>
            </w:r>
          </w:p>
          <w:p w:rsidR="00D3374B" w:rsidRPr="00D3374B" w:rsidRDefault="005A1A89" w:rsidP="005A1A89">
            <w:pPr>
              <w:autoSpaceDE w:val="0"/>
              <w:autoSpaceDN w:val="0"/>
              <w:spacing w:after="0" w:line="276" w:lineRule="auto"/>
              <w:rPr>
                <w:rFonts w:ascii="Arial" w:hAnsi="Arial" w:cs="Arial"/>
                <w:color w:val="92D050"/>
                <w:sz w:val="16"/>
                <w:szCs w:val="16"/>
                <w:lang w:eastAsia="en-GB"/>
              </w:rPr>
            </w:pPr>
            <w:hyperlink r:id="rId8" w:history="1">
              <w:r w:rsidR="00D3374B" w:rsidRPr="005A1A89">
                <w:rPr>
                  <w:rStyle w:val="Lienhypertexte"/>
                  <w:rFonts w:ascii="Arial" w:hAnsi="Arial" w:cs="Arial"/>
                  <w:color w:val="92D050"/>
                  <w:sz w:val="18"/>
                  <w:szCs w:val="16"/>
                  <w:lang w:eastAsia="en-GB"/>
                </w:rPr>
                <w:t>Pascal.mailley@cea.fr</w:t>
              </w:r>
            </w:hyperlink>
          </w:p>
        </w:tc>
      </w:tr>
    </w:tbl>
    <w:p w:rsidR="005A1A89" w:rsidRDefault="005A1A89" w:rsidP="00D3374B">
      <w:pPr>
        <w:rPr>
          <w:b/>
          <w:sz w:val="22"/>
        </w:rPr>
      </w:pPr>
    </w:p>
    <w:p w:rsidR="00D3374B" w:rsidRPr="00D3374B" w:rsidRDefault="001F2A99" w:rsidP="00D3374B">
      <w:pPr>
        <w:rPr>
          <w:b/>
          <w:sz w:val="22"/>
        </w:rPr>
      </w:pPr>
      <w:r>
        <w:rPr>
          <w:rFonts w:cs="Calibri"/>
          <w:noProof/>
          <w:sz w:val="22"/>
          <w:lang w:val="en-GB" w:eastAsia="en-GB"/>
        </w:rPr>
        <w:drawing>
          <wp:anchor distT="0" distB="0" distL="114300" distR="114300" simplePos="0" relativeHeight="251658240" behindDoc="0" locked="0" layoutInCell="1" allowOverlap="1" wp14:anchorId="4FF73364" wp14:editId="597B5633">
            <wp:simplePos x="0" y="0"/>
            <wp:positionH relativeFrom="column">
              <wp:posOffset>0</wp:posOffset>
            </wp:positionH>
            <wp:positionV relativeFrom="paragraph">
              <wp:posOffset>290931</wp:posOffset>
            </wp:positionV>
            <wp:extent cx="1199692" cy="564561"/>
            <wp:effectExtent l="0" t="0" r="63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9692" cy="564561"/>
                    </a:xfrm>
                    <a:prstGeom prst="rect">
                      <a:avLst/>
                    </a:prstGeom>
                    <a:noFill/>
                  </pic:spPr>
                </pic:pic>
              </a:graphicData>
            </a:graphic>
            <wp14:sizeRelH relativeFrom="page">
              <wp14:pctWidth>0</wp14:pctWidth>
            </wp14:sizeRelH>
            <wp14:sizeRelV relativeFrom="page">
              <wp14:pctHeight>0</wp14:pctHeight>
            </wp14:sizeRelV>
          </wp:anchor>
        </w:drawing>
      </w:r>
      <w:r w:rsidR="00D3374B" w:rsidRPr="00D3374B">
        <w:rPr>
          <w:b/>
          <w:sz w:val="22"/>
        </w:rPr>
        <w:t xml:space="preserve">Contact : </w:t>
      </w:r>
      <w:r w:rsidR="00D3374B">
        <w:rPr>
          <w:b/>
          <w:sz w:val="22"/>
        </w:rPr>
        <w:t>ENSAIT</w:t>
      </w:r>
      <w:r>
        <w:rPr>
          <w:b/>
          <w:sz w:val="22"/>
        </w:rPr>
        <w:t xml:space="preserve"> - Roubaix</w:t>
      </w:r>
    </w:p>
    <w:p w:rsidR="00D3374B" w:rsidRDefault="00A75FD4" w:rsidP="00A75FD4">
      <w:pPr>
        <w:tabs>
          <w:tab w:val="left" w:pos="2127"/>
        </w:tabs>
        <w:spacing w:after="0"/>
        <w:rPr>
          <w:rFonts w:cs="Calibri"/>
          <w:sz w:val="22"/>
          <w:lang w:eastAsia="en-GB"/>
        </w:rPr>
      </w:pPr>
      <w:r>
        <w:rPr>
          <w:rFonts w:cs="Calibri"/>
          <w:sz w:val="22"/>
          <w:lang w:eastAsia="en-GB"/>
        </w:rPr>
        <w:tab/>
      </w:r>
    </w:p>
    <w:p w:rsidR="00A75FD4" w:rsidRDefault="00A75FD4" w:rsidP="00A75FD4">
      <w:pPr>
        <w:tabs>
          <w:tab w:val="left" w:pos="2127"/>
        </w:tabs>
        <w:spacing w:after="0"/>
        <w:rPr>
          <w:rFonts w:cs="Calibri"/>
          <w:sz w:val="22"/>
          <w:lang w:eastAsia="en-GB"/>
        </w:rPr>
      </w:pPr>
      <w:r>
        <w:rPr>
          <w:rFonts w:cs="Calibri"/>
          <w:sz w:val="22"/>
          <w:lang w:eastAsia="en-GB"/>
        </w:rPr>
        <w:tab/>
      </w:r>
      <w:r w:rsidR="001F2A99">
        <w:rPr>
          <w:rFonts w:cs="Calibri"/>
          <w:sz w:val="22"/>
          <w:lang w:eastAsia="en-GB"/>
        </w:rPr>
        <w:t>Dr Philippe Vroman</w:t>
      </w:r>
    </w:p>
    <w:p w:rsidR="00A75FD4" w:rsidRDefault="00A75FD4" w:rsidP="00A75FD4">
      <w:pPr>
        <w:tabs>
          <w:tab w:val="left" w:pos="2127"/>
        </w:tabs>
        <w:spacing w:after="0"/>
        <w:rPr>
          <w:rFonts w:cs="Calibri"/>
          <w:sz w:val="22"/>
          <w:lang w:eastAsia="en-GB"/>
        </w:rPr>
      </w:pPr>
      <w:r>
        <w:rPr>
          <w:rFonts w:cs="Calibri"/>
          <w:sz w:val="22"/>
          <w:lang w:eastAsia="en-GB"/>
        </w:rPr>
        <w:tab/>
      </w:r>
      <w:r w:rsidR="001F2A99">
        <w:rPr>
          <w:rFonts w:cs="Calibri"/>
          <w:sz w:val="22"/>
          <w:lang w:eastAsia="en-GB"/>
        </w:rPr>
        <w:t>Maître de conférences</w:t>
      </w:r>
      <w:r>
        <w:rPr>
          <w:rFonts w:cs="Calibri"/>
          <w:sz w:val="22"/>
          <w:lang w:eastAsia="en-GB"/>
        </w:rPr>
        <w:t xml:space="preserve"> </w:t>
      </w:r>
    </w:p>
    <w:p w:rsidR="00A75FD4" w:rsidRDefault="001F2A99" w:rsidP="00A75FD4">
      <w:pPr>
        <w:tabs>
          <w:tab w:val="left" w:pos="2127"/>
        </w:tabs>
        <w:spacing w:after="0"/>
        <w:rPr>
          <w:rFonts w:cs="Calibri"/>
          <w:sz w:val="22"/>
          <w:lang w:eastAsia="en-GB"/>
        </w:rPr>
      </w:pPr>
      <w:r>
        <w:rPr>
          <w:rFonts w:cs="Calibri"/>
          <w:noProof/>
          <w:sz w:val="22"/>
          <w:lang w:val="en-GB" w:eastAsia="en-GB"/>
        </w:rPr>
        <w:drawing>
          <wp:anchor distT="0" distB="0" distL="114300" distR="114300" simplePos="0" relativeHeight="251659264" behindDoc="0" locked="0" layoutInCell="1" allowOverlap="1" wp14:anchorId="25298146" wp14:editId="445117A5">
            <wp:simplePos x="0" y="0"/>
            <wp:positionH relativeFrom="column">
              <wp:posOffset>102235</wp:posOffset>
            </wp:positionH>
            <wp:positionV relativeFrom="paragraph">
              <wp:posOffset>42545</wp:posOffset>
            </wp:positionV>
            <wp:extent cx="1019810" cy="643255"/>
            <wp:effectExtent l="0" t="0" r="889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810" cy="643255"/>
                    </a:xfrm>
                    <a:prstGeom prst="rect">
                      <a:avLst/>
                    </a:prstGeom>
                    <a:noFill/>
                  </pic:spPr>
                </pic:pic>
              </a:graphicData>
            </a:graphic>
            <wp14:sizeRelH relativeFrom="page">
              <wp14:pctWidth>0</wp14:pctWidth>
            </wp14:sizeRelH>
            <wp14:sizeRelV relativeFrom="page">
              <wp14:pctHeight>0</wp14:pctHeight>
            </wp14:sizeRelV>
          </wp:anchor>
        </w:drawing>
      </w:r>
      <w:r w:rsidR="00A75FD4">
        <w:rPr>
          <w:rFonts w:cs="Calibri"/>
          <w:sz w:val="22"/>
          <w:lang w:eastAsia="en-GB"/>
        </w:rPr>
        <w:tab/>
      </w:r>
      <w:r>
        <w:rPr>
          <w:rFonts w:cs="Calibri"/>
          <w:sz w:val="22"/>
          <w:lang w:eastAsia="en-GB"/>
        </w:rPr>
        <w:t>Génie des procédés – Matériaux nontissés innovants et bio-inspirés</w:t>
      </w:r>
    </w:p>
    <w:p w:rsidR="00A75FD4" w:rsidRDefault="00A75FD4" w:rsidP="00A75FD4">
      <w:pPr>
        <w:tabs>
          <w:tab w:val="left" w:pos="2127"/>
        </w:tabs>
        <w:spacing w:after="0"/>
        <w:rPr>
          <w:rFonts w:cs="Calibri"/>
          <w:sz w:val="22"/>
          <w:lang w:eastAsia="en-GB"/>
        </w:rPr>
      </w:pPr>
      <w:r>
        <w:rPr>
          <w:rFonts w:cs="Calibri"/>
          <w:sz w:val="22"/>
          <w:lang w:eastAsia="en-GB"/>
        </w:rPr>
        <w:tab/>
      </w:r>
      <w:r w:rsidR="001F2A99">
        <w:rPr>
          <w:rFonts w:cs="Calibri"/>
          <w:sz w:val="22"/>
          <w:lang w:eastAsia="en-GB"/>
        </w:rPr>
        <w:t>Laboratoire GEMTEX – EA 2461 – Université de Lille Nord-de-France</w:t>
      </w:r>
    </w:p>
    <w:p w:rsidR="00A75FD4" w:rsidRDefault="00A75FD4" w:rsidP="00A75FD4">
      <w:pPr>
        <w:tabs>
          <w:tab w:val="left" w:pos="2127"/>
        </w:tabs>
        <w:spacing w:after="0"/>
        <w:rPr>
          <w:rFonts w:cs="Calibri"/>
          <w:sz w:val="22"/>
          <w:lang w:eastAsia="en-GB"/>
        </w:rPr>
      </w:pPr>
      <w:r>
        <w:rPr>
          <w:rFonts w:cs="Calibri"/>
          <w:sz w:val="22"/>
          <w:lang w:eastAsia="en-GB"/>
        </w:rPr>
        <w:tab/>
      </w:r>
      <w:r w:rsidR="001F2A99">
        <w:rPr>
          <w:rFonts w:cs="Calibri"/>
          <w:sz w:val="22"/>
          <w:lang w:eastAsia="en-GB"/>
        </w:rPr>
        <w:t>Ecole Nationale Supérieure des Arts &amp; Industries Textiles (ENSAIT)</w:t>
      </w:r>
    </w:p>
    <w:p w:rsidR="00A75FD4" w:rsidRDefault="00A75FD4" w:rsidP="00A75FD4">
      <w:pPr>
        <w:tabs>
          <w:tab w:val="left" w:pos="2127"/>
        </w:tabs>
        <w:spacing w:after="0"/>
        <w:rPr>
          <w:rFonts w:cs="Calibri"/>
          <w:sz w:val="22"/>
          <w:lang w:eastAsia="en-GB"/>
        </w:rPr>
      </w:pPr>
      <w:r>
        <w:rPr>
          <w:rFonts w:cs="Calibri"/>
          <w:sz w:val="22"/>
          <w:lang w:eastAsia="en-GB"/>
        </w:rPr>
        <w:tab/>
      </w:r>
    </w:p>
    <w:p w:rsidR="005F2B43" w:rsidRDefault="005F2B43" w:rsidP="00A75FD4">
      <w:pPr>
        <w:tabs>
          <w:tab w:val="left" w:pos="2127"/>
        </w:tabs>
        <w:spacing w:after="0"/>
        <w:rPr>
          <w:rFonts w:cs="Calibri"/>
          <w:sz w:val="22"/>
          <w:lang w:eastAsia="en-GB"/>
        </w:rPr>
      </w:pPr>
    </w:p>
    <w:p w:rsidR="00A75FD4" w:rsidRDefault="001F2A99" w:rsidP="00A75FD4">
      <w:pPr>
        <w:tabs>
          <w:tab w:val="left" w:pos="2127"/>
        </w:tabs>
        <w:spacing w:after="0"/>
        <w:rPr>
          <w:rFonts w:cs="Calibri"/>
          <w:sz w:val="22"/>
          <w:lang w:eastAsia="en-GB"/>
        </w:rPr>
      </w:pPr>
      <w:r>
        <w:rPr>
          <w:rFonts w:cs="Calibri"/>
          <w:noProof/>
          <w:sz w:val="22"/>
          <w:lang w:val="en-GB" w:eastAsia="en-GB"/>
        </w:rPr>
        <w:drawing>
          <wp:anchor distT="0" distB="0" distL="114300" distR="114300" simplePos="0" relativeHeight="251661312" behindDoc="0" locked="0" layoutInCell="1" allowOverlap="1" wp14:anchorId="79E99549" wp14:editId="111100A4">
            <wp:simplePos x="0" y="0"/>
            <wp:positionH relativeFrom="column">
              <wp:posOffset>-52070</wp:posOffset>
            </wp:positionH>
            <wp:positionV relativeFrom="paragraph">
              <wp:posOffset>-330</wp:posOffset>
            </wp:positionV>
            <wp:extent cx="1199692" cy="564561"/>
            <wp:effectExtent l="0" t="0" r="635"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9692" cy="564561"/>
                    </a:xfrm>
                    <a:prstGeom prst="rect">
                      <a:avLst/>
                    </a:prstGeom>
                    <a:noFill/>
                  </pic:spPr>
                </pic:pic>
              </a:graphicData>
            </a:graphic>
            <wp14:sizeRelH relativeFrom="page">
              <wp14:pctWidth>0</wp14:pctWidth>
            </wp14:sizeRelH>
            <wp14:sizeRelV relativeFrom="page">
              <wp14:pctHeight>0</wp14:pctHeight>
            </wp14:sizeRelV>
          </wp:anchor>
        </w:drawing>
      </w:r>
      <w:r w:rsidR="00A75FD4">
        <w:rPr>
          <w:rFonts w:cs="Calibri"/>
          <w:sz w:val="22"/>
          <w:lang w:eastAsia="en-GB"/>
        </w:rPr>
        <w:tab/>
        <w:t xml:space="preserve">Pr Anne </w:t>
      </w:r>
      <w:proofErr w:type="spellStart"/>
      <w:r w:rsidR="00A75FD4">
        <w:rPr>
          <w:rFonts w:cs="Calibri"/>
          <w:sz w:val="22"/>
          <w:lang w:eastAsia="en-GB"/>
        </w:rPr>
        <w:t>Perwuelz</w:t>
      </w:r>
      <w:proofErr w:type="spellEnd"/>
    </w:p>
    <w:p w:rsidR="00A75FD4" w:rsidRDefault="00A75FD4" w:rsidP="00A75FD4">
      <w:pPr>
        <w:tabs>
          <w:tab w:val="left" w:pos="2127"/>
        </w:tabs>
        <w:spacing w:after="0"/>
        <w:rPr>
          <w:rFonts w:cs="Calibri"/>
          <w:sz w:val="22"/>
          <w:lang w:eastAsia="en-GB"/>
        </w:rPr>
      </w:pPr>
      <w:r>
        <w:rPr>
          <w:rFonts w:cs="Calibri"/>
          <w:sz w:val="22"/>
          <w:lang w:eastAsia="en-GB"/>
        </w:rPr>
        <w:tab/>
        <w:t>Professeur des universités</w:t>
      </w:r>
    </w:p>
    <w:p w:rsidR="00A75FD4" w:rsidRDefault="00A75FD4" w:rsidP="00A75FD4">
      <w:pPr>
        <w:tabs>
          <w:tab w:val="left" w:pos="2127"/>
        </w:tabs>
        <w:spacing w:after="0"/>
        <w:rPr>
          <w:rFonts w:cs="Calibri"/>
          <w:sz w:val="22"/>
          <w:lang w:eastAsia="en-GB"/>
        </w:rPr>
      </w:pPr>
      <w:r>
        <w:rPr>
          <w:rFonts w:cs="Calibri"/>
          <w:sz w:val="22"/>
          <w:lang w:eastAsia="en-GB"/>
        </w:rPr>
        <w:tab/>
        <w:t>Génie des procédés – Chimie-physique des interfaces textiles</w:t>
      </w:r>
    </w:p>
    <w:p w:rsidR="00A75FD4" w:rsidRDefault="001F2A99" w:rsidP="00A75FD4">
      <w:pPr>
        <w:tabs>
          <w:tab w:val="left" w:pos="2127"/>
        </w:tabs>
        <w:spacing w:after="0"/>
        <w:rPr>
          <w:rFonts w:cs="Calibri"/>
          <w:sz w:val="22"/>
          <w:lang w:eastAsia="en-GB"/>
        </w:rPr>
      </w:pPr>
      <w:r>
        <w:rPr>
          <w:rFonts w:cs="Calibri"/>
          <w:noProof/>
          <w:sz w:val="22"/>
          <w:lang w:val="en-GB" w:eastAsia="en-GB"/>
        </w:rPr>
        <w:drawing>
          <wp:anchor distT="0" distB="0" distL="114300" distR="114300" simplePos="0" relativeHeight="251663360" behindDoc="0" locked="0" layoutInCell="1" allowOverlap="1" wp14:anchorId="2F05CAB7" wp14:editId="0C3E9272">
            <wp:simplePos x="0" y="0"/>
            <wp:positionH relativeFrom="column">
              <wp:posOffset>49530</wp:posOffset>
            </wp:positionH>
            <wp:positionV relativeFrom="paragraph">
              <wp:posOffset>12548</wp:posOffset>
            </wp:positionV>
            <wp:extent cx="1019810" cy="643255"/>
            <wp:effectExtent l="0" t="0" r="8890"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810" cy="643255"/>
                    </a:xfrm>
                    <a:prstGeom prst="rect">
                      <a:avLst/>
                    </a:prstGeom>
                    <a:noFill/>
                  </pic:spPr>
                </pic:pic>
              </a:graphicData>
            </a:graphic>
            <wp14:sizeRelH relativeFrom="page">
              <wp14:pctWidth>0</wp14:pctWidth>
            </wp14:sizeRelH>
            <wp14:sizeRelV relativeFrom="page">
              <wp14:pctHeight>0</wp14:pctHeight>
            </wp14:sizeRelV>
          </wp:anchor>
        </w:drawing>
      </w:r>
      <w:r w:rsidR="00A75FD4">
        <w:rPr>
          <w:rFonts w:cs="Calibri"/>
          <w:sz w:val="22"/>
          <w:lang w:eastAsia="en-GB"/>
        </w:rPr>
        <w:tab/>
        <w:t xml:space="preserve">Laboratoire GEMTEX – EA 2461 – Université de Lille Nord-de-France </w:t>
      </w:r>
    </w:p>
    <w:p w:rsidR="00A75FD4" w:rsidRDefault="00A75FD4" w:rsidP="00A75FD4">
      <w:pPr>
        <w:tabs>
          <w:tab w:val="left" w:pos="2127"/>
        </w:tabs>
        <w:spacing w:after="0"/>
        <w:rPr>
          <w:rFonts w:cs="Calibri"/>
          <w:sz w:val="22"/>
          <w:lang w:eastAsia="en-GB"/>
        </w:rPr>
      </w:pPr>
      <w:r>
        <w:rPr>
          <w:rFonts w:cs="Calibri"/>
          <w:sz w:val="22"/>
          <w:lang w:eastAsia="en-GB"/>
        </w:rPr>
        <w:tab/>
        <w:t>Ecole Nationale Supérieure des Arts &amp; Industries Textiles (ENSAIT)</w:t>
      </w:r>
    </w:p>
    <w:p w:rsidR="00265360" w:rsidRPr="005A1A89" w:rsidRDefault="00A75FD4" w:rsidP="005A1A89">
      <w:pPr>
        <w:tabs>
          <w:tab w:val="left" w:pos="2127"/>
        </w:tabs>
        <w:spacing w:after="0"/>
        <w:rPr>
          <w:rFonts w:cs="Calibri"/>
          <w:sz w:val="22"/>
          <w:lang w:eastAsia="en-GB"/>
        </w:rPr>
      </w:pPr>
      <w:r>
        <w:rPr>
          <w:rFonts w:cs="Calibri"/>
          <w:sz w:val="22"/>
          <w:lang w:eastAsia="en-GB"/>
        </w:rPr>
        <w:tab/>
      </w:r>
      <w:bookmarkStart w:id="0" w:name="_GoBack"/>
      <w:bookmarkEnd w:id="0"/>
    </w:p>
    <w:sectPr w:rsidR="00265360" w:rsidRPr="005A1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5522B6"/>
    <w:multiLevelType w:val="hybridMultilevel"/>
    <w:tmpl w:val="900E170A"/>
    <w:lvl w:ilvl="0" w:tplc="62720E38">
      <w:start w:val="1"/>
      <w:numFmt w:val="bullet"/>
      <w:lvlText w:val=""/>
      <w:lvlJc w:val="left"/>
      <w:pPr>
        <w:tabs>
          <w:tab w:val="num" w:pos="720"/>
        </w:tabs>
        <w:ind w:left="720" w:hanging="360"/>
      </w:pPr>
      <w:rPr>
        <w:rFonts w:ascii="Wingdings" w:hAnsi="Wingdings" w:hint="default"/>
      </w:rPr>
    </w:lvl>
    <w:lvl w:ilvl="1" w:tplc="CE24E4F4">
      <w:start w:val="1"/>
      <w:numFmt w:val="bullet"/>
      <w:lvlText w:val=""/>
      <w:lvlJc w:val="left"/>
      <w:pPr>
        <w:tabs>
          <w:tab w:val="num" w:pos="1440"/>
        </w:tabs>
        <w:ind w:left="1440" w:hanging="360"/>
      </w:pPr>
      <w:rPr>
        <w:rFonts w:ascii="Wingdings" w:hAnsi="Wingdings" w:hint="default"/>
      </w:rPr>
    </w:lvl>
    <w:lvl w:ilvl="2" w:tplc="F10E6DAE" w:tentative="1">
      <w:start w:val="1"/>
      <w:numFmt w:val="bullet"/>
      <w:lvlText w:val=""/>
      <w:lvlJc w:val="left"/>
      <w:pPr>
        <w:tabs>
          <w:tab w:val="num" w:pos="2160"/>
        </w:tabs>
        <w:ind w:left="2160" w:hanging="360"/>
      </w:pPr>
      <w:rPr>
        <w:rFonts w:ascii="Wingdings" w:hAnsi="Wingdings" w:hint="default"/>
      </w:rPr>
    </w:lvl>
    <w:lvl w:ilvl="3" w:tplc="28CA1BCC" w:tentative="1">
      <w:start w:val="1"/>
      <w:numFmt w:val="bullet"/>
      <w:lvlText w:val=""/>
      <w:lvlJc w:val="left"/>
      <w:pPr>
        <w:tabs>
          <w:tab w:val="num" w:pos="2880"/>
        </w:tabs>
        <w:ind w:left="2880" w:hanging="360"/>
      </w:pPr>
      <w:rPr>
        <w:rFonts w:ascii="Wingdings" w:hAnsi="Wingdings" w:hint="default"/>
      </w:rPr>
    </w:lvl>
    <w:lvl w:ilvl="4" w:tplc="D958AA82" w:tentative="1">
      <w:start w:val="1"/>
      <w:numFmt w:val="bullet"/>
      <w:lvlText w:val=""/>
      <w:lvlJc w:val="left"/>
      <w:pPr>
        <w:tabs>
          <w:tab w:val="num" w:pos="3600"/>
        </w:tabs>
        <w:ind w:left="3600" w:hanging="360"/>
      </w:pPr>
      <w:rPr>
        <w:rFonts w:ascii="Wingdings" w:hAnsi="Wingdings" w:hint="default"/>
      </w:rPr>
    </w:lvl>
    <w:lvl w:ilvl="5" w:tplc="D77C3D6A" w:tentative="1">
      <w:start w:val="1"/>
      <w:numFmt w:val="bullet"/>
      <w:lvlText w:val=""/>
      <w:lvlJc w:val="left"/>
      <w:pPr>
        <w:tabs>
          <w:tab w:val="num" w:pos="4320"/>
        </w:tabs>
        <w:ind w:left="4320" w:hanging="360"/>
      </w:pPr>
      <w:rPr>
        <w:rFonts w:ascii="Wingdings" w:hAnsi="Wingdings" w:hint="default"/>
      </w:rPr>
    </w:lvl>
    <w:lvl w:ilvl="6" w:tplc="85DE0BD4" w:tentative="1">
      <w:start w:val="1"/>
      <w:numFmt w:val="bullet"/>
      <w:lvlText w:val=""/>
      <w:lvlJc w:val="left"/>
      <w:pPr>
        <w:tabs>
          <w:tab w:val="num" w:pos="5040"/>
        </w:tabs>
        <w:ind w:left="5040" w:hanging="360"/>
      </w:pPr>
      <w:rPr>
        <w:rFonts w:ascii="Wingdings" w:hAnsi="Wingdings" w:hint="default"/>
      </w:rPr>
    </w:lvl>
    <w:lvl w:ilvl="7" w:tplc="05A60366" w:tentative="1">
      <w:start w:val="1"/>
      <w:numFmt w:val="bullet"/>
      <w:lvlText w:val=""/>
      <w:lvlJc w:val="left"/>
      <w:pPr>
        <w:tabs>
          <w:tab w:val="num" w:pos="5760"/>
        </w:tabs>
        <w:ind w:left="5760" w:hanging="360"/>
      </w:pPr>
      <w:rPr>
        <w:rFonts w:ascii="Wingdings" w:hAnsi="Wingdings" w:hint="default"/>
      </w:rPr>
    </w:lvl>
    <w:lvl w:ilvl="8" w:tplc="A2BCAC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9006F6"/>
    <w:multiLevelType w:val="hybridMultilevel"/>
    <w:tmpl w:val="F0488C20"/>
    <w:lvl w:ilvl="0" w:tplc="1F78AC34">
      <w:start w:val="1"/>
      <w:numFmt w:val="decimal"/>
      <w:lvlText w:val="%1."/>
      <w:lvlJc w:val="left"/>
      <w:pPr>
        <w:ind w:left="1776" w:hanging="360"/>
      </w:pPr>
      <w:rPr>
        <w:rFonts w:cs="Times New Roman" w:hint="default"/>
      </w:rPr>
    </w:lvl>
    <w:lvl w:ilvl="1" w:tplc="040C0019">
      <w:start w:val="1"/>
      <w:numFmt w:val="lowerLetter"/>
      <w:lvlText w:val="%2."/>
      <w:lvlJc w:val="left"/>
      <w:pPr>
        <w:ind w:left="2496" w:hanging="360"/>
      </w:pPr>
      <w:rPr>
        <w:rFonts w:cs="Times New Roman"/>
      </w:rPr>
    </w:lvl>
    <w:lvl w:ilvl="2" w:tplc="040C001B" w:tentative="1">
      <w:start w:val="1"/>
      <w:numFmt w:val="lowerRoman"/>
      <w:lvlText w:val="%3."/>
      <w:lvlJc w:val="right"/>
      <w:pPr>
        <w:ind w:left="3216" w:hanging="180"/>
      </w:pPr>
      <w:rPr>
        <w:rFonts w:cs="Times New Roman"/>
      </w:rPr>
    </w:lvl>
    <w:lvl w:ilvl="3" w:tplc="040C000F" w:tentative="1">
      <w:start w:val="1"/>
      <w:numFmt w:val="decimal"/>
      <w:lvlText w:val="%4."/>
      <w:lvlJc w:val="left"/>
      <w:pPr>
        <w:ind w:left="3936" w:hanging="360"/>
      </w:pPr>
      <w:rPr>
        <w:rFonts w:cs="Times New Roman"/>
      </w:rPr>
    </w:lvl>
    <w:lvl w:ilvl="4" w:tplc="040C0019" w:tentative="1">
      <w:start w:val="1"/>
      <w:numFmt w:val="lowerLetter"/>
      <w:lvlText w:val="%5."/>
      <w:lvlJc w:val="left"/>
      <w:pPr>
        <w:ind w:left="4656" w:hanging="360"/>
      </w:pPr>
      <w:rPr>
        <w:rFonts w:cs="Times New Roman"/>
      </w:rPr>
    </w:lvl>
    <w:lvl w:ilvl="5" w:tplc="040C001B" w:tentative="1">
      <w:start w:val="1"/>
      <w:numFmt w:val="lowerRoman"/>
      <w:lvlText w:val="%6."/>
      <w:lvlJc w:val="right"/>
      <w:pPr>
        <w:ind w:left="5376" w:hanging="180"/>
      </w:pPr>
      <w:rPr>
        <w:rFonts w:cs="Times New Roman"/>
      </w:rPr>
    </w:lvl>
    <w:lvl w:ilvl="6" w:tplc="040C000F" w:tentative="1">
      <w:start w:val="1"/>
      <w:numFmt w:val="decimal"/>
      <w:lvlText w:val="%7."/>
      <w:lvlJc w:val="left"/>
      <w:pPr>
        <w:ind w:left="6096" w:hanging="360"/>
      </w:pPr>
      <w:rPr>
        <w:rFonts w:cs="Times New Roman"/>
      </w:rPr>
    </w:lvl>
    <w:lvl w:ilvl="7" w:tplc="040C0019" w:tentative="1">
      <w:start w:val="1"/>
      <w:numFmt w:val="lowerLetter"/>
      <w:lvlText w:val="%8."/>
      <w:lvlJc w:val="left"/>
      <w:pPr>
        <w:ind w:left="6816" w:hanging="360"/>
      </w:pPr>
      <w:rPr>
        <w:rFonts w:cs="Times New Roman"/>
      </w:rPr>
    </w:lvl>
    <w:lvl w:ilvl="8" w:tplc="040C001B" w:tentative="1">
      <w:start w:val="1"/>
      <w:numFmt w:val="lowerRoman"/>
      <w:lvlText w:val="%9."/>
      <w:lvlJc w:val="right"/>
      <w:pPr>
        <w:ind w:left="7536" w:hanging="180"/>
      </w:pPr>
      <w:rPr>
        <w:rFonts w:cs="Times New Roman"/>
      </w:rPr>
    </w:lvl>
  </w:abstractNum>
  <w:abstractNum w:abstractNumId="2" w15:restartNumberingAfterBreak="0">
    <w:nsid w:val="720218BC"/>
    <w:multiLevelType w:val="hybridMultilevel"/>
    <w:tmpl w:val="1CF8CD96"/>
    <w:lvl w:ilvl="0" w:tplc="040C0005">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60"/>
    <w:rsid w:val="00036A8A"/>
    <w:rsid w:val="00103552"/>
    <w:rsid w:val="001F2A99"/>
    <w:rsid w:val="00265360"/>
    <w:rsid w:val="00502644"/>
    <w:rsid w:val="005A1A89"/>
    <w:rsid w:val="005F2B43"/>
    <w:rsid w:val="00A75FD4"/>
    <w:rsid w:val="00D337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51A8C-CA4B-4458-B947-47B33150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74B"/>
    <w:pPr>
      <w:widowControl w:val="0"/>
      <w:spacing w:after="200" w:line="240" w:lineRule="auto"/>
      <w:jc w:val="both"/>
    </w:pPr>
    <w:rPr>
      <w:rFonts w:ascii="Calibri" w:hAnsi="Calibri"/>
      <w:sz w:val="20"/>
    </w:rPr>
  </w:style>
  <w:style w:type="paragraph" w:styleId="Titre4">
    <w:name w:val="heading 4"/>
    <w:basedOn w:val="Normal"/>
    <w:next w:val="Normal"/>
    <w:link w:val="Titre4Car"/>
    <w:uiPriority w:val="9"/>
    <w:semiHidden/>
    <w:unhideWhenUsed/>
    <w:qFormat/>
    <w:rsid w:val="002653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Titre4"/>
    <w:next w:val="Normal"/>
    <w:link w:val="Titre5Car"/>
    <w:uiPriority w:val="9"/>
    <w:unhideWhenUsed/>
    <w:qFormat/>
    <w:rsid w:val="00265360"/>
    <w:pPr>
      <w:widowControl/>
      <w:spacing w:before="200" w:after="60"/>
      <w:jc w:val="left"/>
      <w:outlineLvl w:val="4"/>
    </w:pPr>
    <w:rPr>
      <w:rFonts w:ascii="Calibri" w:hAnsi="Calibri"/>
      <w:b/>
      <w:bCs/>
      <w:i w:val="0"/>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265360"/>
    <w:rPr>
      <w:rFonts w:ascii="Calibri" w:eastAsiaTheme="majorEastAsia" w:hAnsi="Calibri" w:cstheme="majorBidi"/>
      <w:b/>
      <w:bCs/>
      <w:iCs/>
      <w:color w:val="000000" w:themeColor="text1"/>
      <w:sz w:val="20"/>
    </w:rPr>
  </w:style>
  <w:style w:type="character" w:customStyle="1" w:styleId="Titre4Car">
    <w:name w:val="Titre 4 Car"/>
    <w:basedOn w:val="Policepardfaut"/>
    <w:link w:val="Titre4"/>
    <w:uiPriority w:val="9"/>
    <w:semiHidden/>
    <w:rsid w:val="00265360"/>
    <w:rPr>
      <w:rFonts w:asciiTheme="majorHAnsi" w:eastAsiaTheme="majorEastAsia" w:hAnsiTheme="majorHAnsi" w:cstheme="majorBidi"/>
      <w:i/>
      <w:iCs/>
      <w:color w:val="2E74B5" w:themeColor="accent1" w:themeShade="BF"/>
      <w:sz w:val="20"/>
    </w:rPr>
  </w:style>
  <w:style w:type="paragraph" w:styleId="Paragraphedeliste">
    <w:name w:val="List Paragraph"/>
    <w:basedOn w:val="Normal"/>
    <w:uiPriority w:val="34"/>
    <w:qFormat/>
    <w:rsid w:val="00265360"/>
    <w:pPr>
      <w:widowControl/>
      <w:spacing w:after="160" w:line="259" w:lineRule="auto"/>
      <w:ind w:left="720"/>
      <w:contextualSpacing/>
      <w:jc w:val="left"/>
    </w:pPr>
    <w:rPr>
      <w:rFonts w:asciiTheme="minorHAnsi" w:hAnsiTheme="minorHAnsi"/>
      <w:sz w:val="22"/>
    </w:rPr>
  </w:style>
  <w:style w:type="character" w:styleId="Lienhypertexte">
    <w:name w:val="Hyperlink"/>
    <w:basedOn w:val="Policepardfaut"/>
    <w:uiPriority w:val="99"/>
    <w:semiHidden/>
    <w:unhideWhenUsed/>
    <w:rsid w:val="00265360"/>
    <w:rPr>
      <w:color w:val="0000FF"/>
      <w:u w:val="single"/>
    </w:rPr>
  </w:style>
  <w:style w:type="paragraph" w:styleId="Textedebulles">
    <w:name w:val="Balloon Text"/>
    <w:basedOn w:val="Normal"/>
    <w:link w:val="TextedebullesCar"/>
    <w:uiPriority w:val="99"/>
    <w:semiHidden/>
    <w:unhideWhenUsed/>
    <w:rsid w:val="00A75FD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75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83409">
      <w:bodyDiv w:val="1"/>
      <w:marLeft w:val="0"/>
      <w:marRight w:val="0"/>
      <w:marTop w:val="0"/>
      <w:marBottom w:val="0"/>
      <w:divBdr>
        <w:top w:val="none" w:sz="0" w:space="0" w:color="auto"/>
        <w:left w:val="none" w:sz="0" w:space="0" w:color="auto"/>
        <w:bottom w:val="none" w:sz="0" w:space="0" w:color="auto"/>
        <w:right w:val="none" w:sz="0" w:space="0" w:color="auto"/>
      </w:divBdr>
    </w:div>
    <w:div w:id="96948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cal.mailley@cea.f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volcavalier@cea.f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848</Words>
  <Characters>4838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REVOL-CAVALIER Frédéric 119003</dc:creator>
  <cp:lastModifiedBy>MAILLEY Pascal 232906</cp:lastModifiedBy>
  <cp:revision>3</cp:revision>
  <dcterms:created xsi:type="dcterms:W3CDTF">2018-06-13T08:48:00Z</dcterms:created>
  <dcterms:modified xsi:type="dcterms:W3CDTF">2018-06-13T12:36:00Z</dcterms:modified>
</cp:coreProperties>
</file>